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gridSpan w:val="2"/>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gridSpan w:val="2"/>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gridSpan w:val="2"/>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gridSpan w:val="2"/>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gridSpan w:val="2"/>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gridSpan w:val="2"/>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1739820B" w:rsidR="00805BC1" w:rsidRPr="00F6144B" w:rsidRDefault="00693D0C" w:rsidP="00991313">
            <w:pPr>
              <w:jc w:val="both"/>
              <w:rPr>
                <w:bCs/>
                <w:i/>
                <w:iCs/>
                <w:sz w:val="20"/>
                <w:szCs w:val="20"/>
              </w:rPr>
            </w:pPr>
            <w:r w:rsidRPr="00693D0C">
              <w:rPr>
                <w:bCs/>
                <w:i/>
                <w:iCs/>
                <w:color w:val="767171" w:themeColor="background2" w:themeShade="80"/>
                <w:sz w:val="20"/>
                <w:szCs w:val="20"/>
              </w:rPr>
              <w:t>For each implementing partner, specify if it is a women’s rights or youth rights organization.</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gridSpan w:val="2"/>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D305E6">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68C35CCC" w14:textId="27A67EEA" w:rsidR="00D32C9B" w:rsidRDefault="00D32C9B"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7F42EC1" w14:textId="56020D3A" w:rsidR="00D32C9B" w:rsidRPr="00991313" w:rsidRDefault="00D32C9B"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Women’s Rights </w:t>
            </w:r>
          </w:p>
          <w:p w14:paraId="633A09A6" w14:textId="690BA9BF" w:rsidR="00D32C9B" w:rsidRPr="00991313" w:rsidRDefault="00D32C9B"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 xml:space="preserve">Youth Rights </w:t>
            </w:r>
          </w:p>
          <w:p w14:paraId="1D9A51E2" w14:textId="62580846" w:rsidR="00D32C9B" w:rsidRPr="00991313" w:rsidRDefault="00D32C9B" w:rsidP="00FC0B3F">
            <w:pPr>
              <w:tabs>
                <w:tab w:val="left" w:pos="3054"/>
              </w:tabs>
              <w:spacing w:after="0"/>
              <w:rPr>
                <w:bCs/>
                <w:sz w:val="20"/>
                <w:szCs w:val="20"/>
              </w:rPr>
            </w:pPr>
            <w:r>
              <w:rPr>
                <w:rFonts w:ascii="MS Gothic" w:eastAsia="MS Gothic" w:hAnsi="MS Gothic"/>
                <w:sz w:val="20"/>
                <w:szCs w:val="20"/>
              </w:rPr>
              <w:t xml:space="preserve"> </w:t>
            </w:r>
            <w:r>
              <w:rPr>
                <w:rFonts w:ascii="Wingdings" w:eastAsia="Wingdings" w:hAnsi="Wingdings" w:cs="Wingdings"/>
                <w:sz w:val="20"/>
                <w:szCs w:val="20"/>
              </w:rPr>
              <w:t>o</w:t>
            </w:r>
            <w:r w:rsidRPr="00991313">
              <w:rPr>
                <w:sz w:val="20"/>
                <w:szCs w:val="20"/>
              </w:rPr>
              <w:t xml:space="preserve">  Women Led</w:t>
            </w:r>
            <w:r w:rsidRPr="00991313">
              <w:tab/>
            </w:r>
          </w:p>
          <w:p w14:paraId="34D4CA0C" w14:textId="77777777" w:rsidR="00D32C9B" w:rsidRDefault="00D32C9B" w:rsidP="008E31A0">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14"/>
                <w:szCs w:val="14"/>
              </w:rPr>
              <w:t xml:space="preserve"> </w:t>
            </w:r>
            <w:r w:rsidRPr="004253BF">
              <w:rPr>
                <w:bCs/>
                <w:sz w:val="20"/>
                <w:szCs w:val="20"/>
              </w:rPr>
              <w:t>Youth Led</w:t>
            </w:r>
          </w:p>
          <w:p w14:paraId="30FCA070" w14:textId="30512A69" w:rsidR="00D32C9B" w:rsidRPr="00991313" w:rsidRDefault="00D32C9B"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D32C9B" w:rsidRPr="004253BF" w:rsidRDefault="00D32C9B" w:rsidP="00991313">
            <w:pPr>
              <w:tabs>
                <w:tab w:val="left" w:pos="3054"/>
              </w:tabs>
              <w:spacing w:after="0"/>
              <w:ind w:left="108"/>
              <w:rPr>
                <w:bCs/>
                <w:sz w:val="20"/>
                <w:szCs w:val="20"/>
              </w:rPr>
            </w:pPr>
            <w:r w:rsidRPr="004253BF">
              <w:rPr>
                <w:bCs/>
                <w:sz w:val="20"/>
                <w:szCs w:val="20"/>
              </w:rPr>
              <w:tab/>
            </w:r>
          </w:p>
        </w:tc>
        <w:tc>
          <w:tcPr>
            <w:tcW w:w="245" w:type="dxa"/>
            <w:gridSpan w:val="2"/>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vMerge/>
            <w:shd w:val="clear" w:color="auto" w:fill="auto"/>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410F932D" w:rsidR="005E4D5C" w:rsidRPr="005E4D5C" w:rsidRDefault="005E4D5C" w:rsidP="002D3764">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5: Protection of </w:t>
            </w:r>
            <w:r w:rsidR="000C10FA">
              <w:rPr>
                <w:bCs/>
                <w:sz w:val="20"/>
                <w:szCs w:val="20"/>
              </w:rPr>
              <w:t>W</w:t>
            </w:r>
            <w:r>
              <w:rPr>
                <w:bCs/>
                <w:sz w:val="20"/>
                <w:szCs w:val="20"/>
              </w:rPr>
              <w:t xml:space="preserve">omen and </w:t>
            </w:r>
            <w:r w:rsidR="000C10FA">
              <w:rPr>
                <w:bCs/>
                <w:sz w:val="20"/>
                <w:szCs w:val="20"/>
              </w:rPr>
              <w:t>G</w:t>
            </w:r>
            <w:r>
              <w:rPr>
                <w:bCs/>
                <w:sz w:val="20"/>
                <w:szCs w:val="20"/>
              </w:rPr>
              <w:t>irls</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7468AE81"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w:t>
      </w:r>
      <w:r w:rsidR="003D1904">
        <w:rPr>
          <w:bCs/>
          <w:sz w:val="18"/>
          <w:szCs w:val="18"/>
        </w:rPr>
        <w:t xml:space="preserve"> and cannot be changed</w:t>
      </w:r>
      <w:r w:rsidRPr="00150822">
        <w:rPr>
          <w:bCs/>
          <w:sz w:val="18"/>
          <w:szCs w:val="18"/>
        </w:rPr>
        <w:t xml:space="preserve">.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3F10AB2B"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w:t>
      </w:r>
      <w:r w:rsidR="003D1904">
        <w:rPr>
          <w:bCs/>
          <w:sz w:val="18"/>
          <w:szCs w:val="18"/>
        </w:rPr>
        <w:t>s</w:t>
      </w:r>
      <w:r w:rsidRPr="00150822">
        <w:rPr>
          <w:bCs/>
          <w:sz w:val="18"/>
          <w:szCs w:val="18"/>
        </w:rPr>
        <w:t xml:space="preserve">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p w14:paraId="167C09CB" w14:textId="6DCAE986" w:rsidR="007F5AF9" w:rsidRPr="007F5AF9" w:rsidRDefault="007F5AF9" w:rsidP="007F5AF9">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3</w:t>
      </w:r>
      <w:r w:rsidRPr="007F5AF9">
        <w:rPr>
          <w:rFonts w:ascii="Calibri" w:eastAsia="Calibri" w:hAnsi="Calibri" w:cs="Calibri"/>
          <w:b/>
          <w:bCs/>
          <w:color w:val="000000" w:themeColor="text1"/>
        </w:rPr>
        <w:t xml:space="preserve"> or Impact Area </w:t>
      </w:r>
      <w:r w:rsidR="009C41F0">
        <w:rPr>
          <w:rFonts w:ascii="Calibri" w:eastAsia="Calibri" w:hAnsi="Calibri" w:cs="Calibri"/>
          <w:b/>
          <w:bCs/>
          <w:color w:val="000000" w:themeColor="text1"/>
        </w:rPr>
        <w:t>5</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6"/>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006A2A8F" w14:textId="1D5A3A3B" w:rsidR="00A06DCD" w:rsidRPr="00380789" w:rsidRDefault="00B13DB5" w:rsidP="00792FBB">
            <w:pPr>
              <w:spacing w:after="0" w:line="240" w:lineRule="auto"/>
              <w:rPr>
                <w:b/>
                <w:sz w:val="20"/>
                <w:szCs w:val="20"/>
              </w:rPr>
            </w:pPr>
            <w:r w:rsidRPr="00380789">
              <w:rPr>
                <w:b/>
                <w:sz w:val="20"/>
                <w:szCs w:val="20"/>
              </w:rPr>
              <w:t>Impact</w:t>
            </w:r>
            <w:r w:rsidR="002D3764">
              <w:rPr>
                <w:b/>
                <w:sz w:val="20"/>
                <w:szCs w:val="20"/>
              </w:rPr>
              <w:t xml:space="preserve"> 3</w:t>
            </w:r>
            <w:r w:rsidRPr="00380789">
              <w:rPr>
                <w:rStyle w:val="FootnoteReference"/>
              </w:rPr>
              <w:footnoteReference w:id="7"/>
            </w:r>
            <w:r w:rsidR="00792FBB">
              <w:rPr>
                <w:b/>
                <w:sz w:val="20"/>
                <w:szCs w:val="20"/>
              </w:rPr>
              <w:t xml:space="preserve">: </w:t>
            </w:r>
            <w:r w:rsidR="00A06DCD" w:rsidRPr="00A06DCD">
              <w:rPr>
                <w:b/>
                <w:sz w:val="20"/>
                <w:szCs w:val="20"/>
              </w:rPr>
              <w:t>Enhanced participation and leadership of women in humanitarian crisis planning and response</w:t>
            </w:r>
          </w:p>
          <w:p w14:paraId="0AAF670B" w14:textId="77777777" w:rsidR="00B13DB5" w:rsidRPr="004253BF"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80FAE42" w14:textId="77777777" w:rsidR="006F07B7" w:rsidRPr="006F07B7" w:rsidRDefault="006F07B7" w:rsidP="006F07B7">
            <w:pPr>
              <w:spacing w:after="0" w:line="240" w:lineRule="auto"/>
              <w:rPr>
                <w:bCs/>
                <w:sz w:val="18"/>
                <w:szCs w:val="18"/>
              </w:rPr>
            </w:pPr>
            <w:r w:rsidRPr="006F07B7">
              <w:rPr>
                <w:bCs/>
                <w:sz w:val="18"/>
                <w:szCs w:val="18"/>
              </w:rPr>
              <w:t>Select at least one (1):</w:t>
            </w:r>
          </w:p>
          <w:p w14:paraId="5C9CC56F" w14:textId="77777777" w:rsidR="006F07B7" w:rsidRPr="006F07B7" w:rsidRDefault="006F07B7" w:rsidP="006F07B7">
            <w:pPr>
              <w:spacing w:after="0" w:line="240" w:lineRule="auto"/>
              <w:rPr>
                <w:bCs/>
                <w:sz w:val="18"/>
                <w:szCs w:val="18"/>
              </w:rPr>
            </w:pPr>
            <w:r w:rsidRPr="006F07B7">
              <w:rPr>
                <w:bCs/>
                <w:sz w:val="18"/>
                <w:szCs w:val="18"/>
              </w:rPr>
              <w:t>3.1. Number/Percentage of women participating in decision-making in humanitarian and crisis response</w:t>
            </w:r>
          </w:p>
          <w:p w14:paraId="0610CD78" w14:textId="59A9080C" w:rsidR="00B13DB5" w:rsidRPr="00380789" w:rsidRDefault="006F07B7" w:rsidP="006F07B7">
            <w:pPr>
              <w:spacing w:after="0" w:line="240" w:lineRule="auto"/>
              <w:rPr>
                <w:bCs/>
                <w:sz w:val="20"/>
                <w:szCs w:val="20"/>
              </w:rPr>
            </w:pPr>
            <w:r w:rsidRPr="006F07B7">
              <w:rPr>
                <w:bCs/>
                <w:sz w:val="18"/>
                <w:szCs w:val="18"/>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2D3764" w14:paraId="09D8A4EE" w14:textId="77777777" w:rsidTr="00B4584D">
        <w:trPr>
          <w:trHeight w:val="250"/>
        </w:trPr>
        <w:tc>
          <w:tcPr>
            <w:tcW w:w="2711" w:type="dxa"/>
            <w:tcBorders>
              <w:top w:val="single" w:sz="4" w:space="0" w:color="auto"/>
              <w:bottom w:val="single" w:sz="4" w:space="0" w:color="auto"/>
            </w:tcBorders>
            <w:shd w:val="clear" w:color="auto" w:fill="B6DDE8"/>
          </w:tcPr>
          <w:p w14:paraId="4776A10C" w14:textId="77777777" w:rsidR="002D3764" w:rsidRPr="009C41F0" w:rsidRDefault="002D3764" w:rsidP="00B13DB5">
            <w:pPr>
              <w:spacing w:after="0" w:line="240" w:lineRule="auto"/>
              <w:rPr>
                <w:b/>
                <w:sz w:val="20"/>
                <w:szCs w:val="20"/>
                <w:u w:val="single"/>
              </w:rPr>
            </w:pPr>
            <w:r w:rsidRPr="009C41F0">
              <w:rPr>
                <w:b/>
                <w:sz w:val="20"/>
                <w:szCs w:val="20"/>
                <w:u w:val="single"/>
              </w:rPr>
              <w:t>OR</w:t>
            </w:r>
          </w:p>
          <w:p w14:paraId="6F474068" w14:textId="548E42B7" w:rsidR="002D3764" w:rsidRPr="00380789" w:rsidRDefault="002D3764" w:rsidP="00792FBB">
            <w:pPr>
              <w:spacing w:after="0" w:line="240" w:lineRule="auto"/>
              <w:rPr>
                <w:b/>
                <w:sz w:val="20"/>
                <w:szCs w:val="20"/>
              </w:rPr>
            </w:pPr>
            <w:r>
              <w:rPr>
                <w:b/>
                <w:sz w:val="20"/>
                <w:szCs w:val="20"/>
              </w:rPr>
              <w:t>Impact 5</w:t>
            </w:r>
            <w:r w:rsidR="00792FBB">
              <w:rPr>
                <w:b/>
                <w:sz w:val="20"/>
                <w:szCs w:val="20"/>
              </w:rPr>
              <w:t xml:space="preserve">: </w:t>
            </w:r>
            <w:r w:rsidR="00792FBB" w:rsidRPr="00792FBB">
              <w:rPr>
                <w:b/>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70CD54FC" w14:textId="77777777" w:rsidR="009A7C9C" w:rsidRPr="009A7C9C" w:rsidRDefault="009A7C9C" w:rsidP="009A7C9C">
            <w:pPr>
              <w:spacing w:after="0" w:line="240" w:lineRule="auto"/>
              <w:rPr>
                <w:bCs/>
                <w:sz w:val="18"/>
                <w:szCs w:val="18"/>
              </w:rPr>
            </w:pPr>
            <w:r w:rsidRPr="009A7C9C">
              <w:rPr>
                <w:bCs/>
                <w:sz w:val="18"/>
                <w:szCs w:val="18"/>
              </w:rPr>
              <w:t>Select at least two (2):</w:t>
            </w:r>
          </w:p>
          <w:p w14:paraId="10422D4E" w14:textId="77777777" w:rsidR="009A7C9C" w:rsidRPr="009A7C9C" w:rsidRDefault="009A7C9C" w:rsidP="009A7C9C">
            <w:pPr>
              <w:spacing w:after="0" w:line="240" w:lineRule="auto"/>
              <w:rPr>
                <w:bCs/>
                <w:sz w:val="18"/>
                <w:szCs w:val="18"/>
              </w:rPr>
            </w:pPr>
            <w:r w:rsidRPr="009A7C9C">
              <w:rPr>
                <w:bCs/>
                <w:sz w:val="18"/>
                <w:szCs w:val="18"/>
              </w:rPr>
              <w:t>5.1. Number and percentage of CSOs, that report having greater influence and agency to work on ending sexual and gender-based violence (SGBV)4</w:t>
            </w:r>
          </w:p>
          <w:p w14:paraId="55D0B039" w14:textId="77777777" w:rsidR="009A7C9C" w:rsidRPr="009A7C9C" w:rsidRDefault="009A7C9C" w:rsidP="009A7C9C">
            <w:pPr>
              <w:spacing w:after="0" w:line="240" w:lineRule="auto"/>
              <w:rPr>
                <w:bCs/>
                <w:sz w:val="18"/>
                <w:szCs w:val="18"/>
              </w:rPr>
            </w:pPr>
            <w:r w:rsidRPr="009A7C9C">
              <w:rPr>
                <w:bCs/>
                <w:sz w:val="18"/>
                <w:szCs w:val="18"/>
              </w:rPr>
              <w:t>5.2. Degree to which social accountability mechanisms are used by civil society in order to monitor and engage in efforts to end SGBV</w:t>
            </w:r>
          </w:p>
          <w:p w14:paraId="1B7ED337" w14:textId="42055EF6" w:rsidR="002D3764" w:rsidRPr="009F3495" w:rsidRDefault="009A7C9C" w:rsidP="009A7C9C">
            <w:pPr>
              <w:spacing w:after="0" w:line="240" w:lineRule="auto"/>
              <w:rPr>
                <w:bCs/>
                <w:sz w:val="18"/>
                <w:szCs w:val="18"/>
              </w:rPr>
            </w:pPr>
            <w:r w:rsidRPr="009A7C9C">
              <w:rPr>
                <w:bCs/>
                <w:sz w:val="18"/>
                <w:szCs w:val="18"/>
              </w:rPr>
              <w:lastRenderedPageBreak/>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6B799B27" w14:textId="77777777" w:rsidR="002D3764" w:rsidRPr="0021723C" w:rsidRDefault="002D3764"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33420D85" w14:textId="77777777" w:rsidR="002D3764" w:rsidRDefault="002D3764"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080D85F4" w14:textId="77777777" w:rsidR="002D3764" w:rsidRDefault="002D3764"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8"/>
            </w:r>
            <w:r>
              <w:rPr>
                <w:b/>
                <w:sz w:val="20"/>
              </w:rPr>
              <w:t xml:space="preserve"> </w:t>
            </w:r>
          </w:p>
          <w:p w14:paraId="7E5811CB" w14:textId="5F1D6D4C" w:rsidR="00DB05A9" w:rsidRDefault="00DB05A9" w:rsidP="00B13DB5">
            <w:pPr>
              <w:rPr>
                <w:b/>
                <w:sz w:val="20"/>
              </w:rPr>
            </w:pPr>
            <w:r>
              <w:rPr>
                <w:bCs/>
                <w:i/>
                <w:iCs/>
                <w:sz w:val="20"/>
                <w:szCs w:val="20"/>
              </w:rPr>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1530B0E9" w14:textId="77777777" w:rsidR="00B13DB5" w:rsidRDefault="00B13DB5" w:rsidP="00B13DB5">
            <w:pPr>
              <w:rPr>
                <w:bCs/>
                <w:sz w:val="20"/>
              </w:rPr>
            </w:pPr>
            <w:r w:rsidRPr="00094B77">
              <w:rPr>
                <w:bCs/>
                <w:sz w:val="20"/>
              </w:rPr>
              <w:t>Output1.1</w:t>
            </w:r>
            <w:r>
              <w:rPr>
                <w:rStyle w:val="FootnoteReference"/>
              </w:rPr>
              <w:footnoteReference w:id="9"/>
            </w:r>
          </w:p>
          <w:p w14:paraId="72D39947" w14:textId="7242CAC8" w:rsidR="00792FBB" w:rsidRPr="00792FBB" w:rsidRDefault="00792FBB" w:rsidP="00B13DB5">
            <w:pPr>
              <w:rPr>
                <w:bCs/>
                <w:i/>
                <w:iCs/>
                <w:color w:val="FF0000"/>
                <w:sz w:val="20"/>
              </w:rPr>
            </w:pPr>
            <w:r w:rsidRPr="00792FBB">
              <w:rPr>
                <w:bCs/>
                <w:i/>
                <w:iCs/>
                <w:sz w:val="20"/>
              </w:rPr>
              <w:t>Develop your own output statements</w:t>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39D9" w14:textId="77777777" w:rsidR="00997229" w:rsidRDefault="00997229" w:rsidP="00805BC1">
      <w:pPr>
        <w:spacing w:after="0" w:line="240" w:lineRule="auto"/>
      </w:pPr>
      <w:r>
        <w:separator/>
      </w:r>
    </w:p>
  </w:endnote>
  <w:endnote w:type="continuationSeparator" w:id="0">
    <w:p w14:paraId="1C82B331" w14:textId="77777777" w:rsidR="00997229" w:rsidRDefault="00997229"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8A5A" w14:textId="77777777" w:rsidR="00997229" w:rsidRDefault="00997229" w:rsidP="00805BC1">
      <w:pPr>
        <w:spacing w:after="0" w:line="240" w:lineRule="auto"/>
      </w:pPr>
      <w:r>
        <w:separator/>
      </w:r>
    </w:p>
  </w:footnote>
  <w:footnote w:type="continuationSeparator" w:id="0">
    <w:p w14:paraId="4D94DFDA" w14:textId="77777777" w:rsidR="00997229" w:rsidRDefault="00997229"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8">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439FA"/>
    <w:rsid w:val="00044E90"/>
    <w:rsid w:val="00046C67"/>
    <w:rsid w:val="000819C7"/>
    <w:rsid w:val="000C10FA"/>
    <w:rsid w:val="00100E95"/>
    <w:rsid w:val="001107EF"/>
    <w:rsid w:val="00126A99"/>
    <w:rsid w:val="00136669"/>
    <w:rsid w:val="00166EEF"/>
    <w:rsid w:val="0019670D"/>
    <w:rsid w:val="002253FD"/>
    <w:rsid w:val="00261C9F"/>
    <w:rsid w:val="00267330"/>
    <w:rsid w:val="00276320"/>
    <w:rsid w:val="00283D8C"/>
    <w:rsid w:val="002D3764"/>
    <w:rsid w:val="002E0C1D"/>
    <w:rsid w:val="002E61EF"/>
    <w:rsid w:val="002F000A"/>
    <w:rsid w:val="0037634A"/>
    <w:rsid w:val="0038646E"/>
    <w:rsid w:val="003B5E6C"/>
    <w:rsid w:val="003D1904"/>
    <w:rsid w:val="003D2277"/>
    <w:rsid w:val="003E6C88"/>
    <w:rsid w:val="004801EE"/>
    <w:rsid w:val="00482780"/>
    <w:rsid w:val="00487E5D"/>
    <w:rsid w:val="004C115D"/>
    <w:rsid w:val="005014F0"/>
    <w:rsid w:val="00551C88"/>
    <w:rsid w:val="005E4D5C"/>
    <w:rsid w:val="005E5BB7"/>
    <w:rsid w:val="005E7BBA"/>
    <w:rsid w:val="0060229D"/>
    <w:rsid w:val="0060645E"/>
    <w:rsid w:val="00692C1E"/>
    <w:rsid w:val="00693D0C"/>
    <w:rsid w:val="006E7541"/>
    <w:rsid w:val="006F07B7"/>
    <w:rsid w:val="00710474"/>
    <w:rsid w:val="00747124"/>
    <w:rsid w:val="007865F3"/>
    <w:rsid w:val="00792FBB"/>
    <w:rsid w:val="00797FB2"/>
    <w:rsid w:val="007E4847"/>
    <w:rsid w:val="007F5AF9"/>
    <w:rsid w:val="00805BC1"/>
    <w:rsid w:val="00811565"/>
    <w:rsid w:val="0081231D"/>
    <w:rsid w:val="008161E2"/>
    <w:rsid w:val="0086632F"/>
    <w:rsid w:val="00887AF9"/>
    <w:rsid w:val="008E31A0"/>
    <w:rsid w:val="009159A4"/>
    <w:rsid w:val="00926358"/>
    <w:rsid w:val="00991313"/>
    <w:rsid w:val="00997229"/>
    <w:rsid w:val="009A0BC4"/>
    <w:rsid w:val="009A7C9C"/>
    <w:rsid w:val="009C41F0"/>
    <w:rsid w:val="009D6E62"/>
    <w:rsid w:val="009F3495"/>
    <w:rsid w:val="00A06DCD"/>
    <w:rsid w:val="00A72D77"/>
    <w:rsid w:val="00B13DB5"/>
    <w:rsid w:val="00B22DD2"/>
    <w:rsid w:val="00B237BE"/>
    <w:rsid w:val="00B4584D"/>
    <w:rsid w:val="00B51B96"/>
    <w:rsid w:val="00B73F7F"/>
    <w:rsid w:val="00BD5E69"/>
    <w:rsid w:val="00BF27CB"/>
    <w:rsid w:val="00C326AB"/>
    <w:rsid w:val="00C53D7E"/>
    <w:rsid w:val="00C77AD9"/>
    <w:rsid w:val="00CB5CA8"/>
    <w:rsid w:val="00CD05DE"/>
    <w:rsid w:val="00CE3FBC"/>
    <w:rsid w:val="00D20FB5"/>
    <w:rsid w:val="00D26AD8"/>
    <w:rsid w:val="00D32C9B"/>
    <w:rsid w:val="00D33F49"/>
    <w:rsid w:val="00D8049D"/>
    <w:rsid w:val="00DB05A9"/>
    <w:rsid w:val="00DC7AC4"/>
    <w:rsid w:val="00E557C6"/>
    <w:rsid w:val="00E55A6A"/>
    <w:rsid w:val="00E55B44"/>
    <w:rsid w:val="00E647FC"/>
    <w:rsid w:val="00EA33B9"/>
    <w:rsid w:val="00EC0E7A"/>
    <w:rsid w:val="00F57F5A"/>
    <w:rsid w:val="00F6144B"/>
    <w:rsid w:val="00F628A9"/>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Annie Dumont</cp:lastModifiedBy>
  <cp:revision>2</cp:revision>
  <dcterms:created xsi:type="dcterms:W3CDTF">2022-02-17T14:52:00Z</dcterms:created>
  <dcterms:modified xsi:type="dcterms:W3CDTF">2022-02-17T14:52:00Z</dcterms:modified>
</cp:coreProperties>
</file>